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D05A2">
      <w:pPr>
        <w:pStyle w:val="2"/>
        <w:snapToGrid w:val="0"/>
        <w:spacing w:before="0" w:after="0" w:line="360" w:lineRule="auto"/>
        <w:jc w:val="center"/>
        <w:rPr>
          <w:rFonts w:hint="default" w:eastAsia="黑体"/>
          <w:b w:val="0"/>
          <w:bCs/>
          <w:sz w:val="32"/>
          <w:szCs w:val="32"/>
          <w:lang w:val="en-US" w:eastAsia="zh-CN"/>
        </w:rPr>
      </w:pPr>
      <w:r>
        <w:rPr>
          <w:rFonts w:hint="eastAsia" w:eastAsia="黑体"/>
          <w:b w:val="0"/>
          <w:bCs/>
          <w:sz w:val="32"/>
          <w:szCs w:val="32"/>
          <w:lang w:val="en-US" w:eastAsia="zh-CN"/>
        </w:rPr>
        <w:t>项目八 风险应对——应收账款实质性程序</w:t>
      </w:r>
    </w:p>
    <w:p w14:paraId="3A32D0ED">
      <w:pPr>
        <w:keepNext w:val="0"/>
        <w:keepLines w:val="0"/>
        <w:pageBreakBefore w:val="0"/>
        <w:widowControl w:val="0"/>
        <w:kinsoku/>
        <w:wordWrap/>
        <w:overflowPunct/>
        <w:topLinePunct w:val="0"/>
        <w:autoSpaceDE/>
        <w:autoSpaceDN/>
        <w:bidi w:val="0"/>
        <w:adjustRightInd/>
        <w:snapToGrid w:val="0"/>
        <w:spacing w:line="460" w:lineRule="exact"/>
        <w:ind w:firstLine="482" w:firstLineChars="200"/>
        <w:jc w:val="both"/>
        <w:textAlignment w:val="auto"/>
        <w:rPr>
          <w:rFonts w:hint="eastAsia"/>
          <w:b/>
          <w:szCs w:val="24"/>
        </w:rPr>
      </w:pPr>
      <w:r>
        <w:rPr>
          <w:rFonts w:hint="eastAsia"/>
          <w:b/>
          <w:szCs w:val="24"/>
        </w:rPr>
        <w:t>【</w:t>
      </w:r>
      <w:r>
        <w:rPr>
          <w:rFonts w:hint="eastAsia" w:ascii="黑体" w:hAnsi="黑体" w:eastAsia="黑体" w:cs="黑体"/>
          <w:b w:val="0"/>
          <w:bCs/>
          <w:szCs w:val="24"/>
        </w:rPr>
        <w:t>教学</w:t>
      </w:r>
      <w:r>
        <w:rPr>
          <w:rFonts w:hint="eastAsia" w:ascii="黑体" w:hAnsi="黑体" w:eastAsia="黑体" w:cs="黑体"/>
          <w:b w:val="0"/>
          <w:bCs/>
          <w:szCs w:val="24"/>
          <w:lang w:val="en-US" w:eastAsia="zh-CN"/>
        </w:rPr>
        <w:t>目标</w:t>
      </w:r>
      <w:r>
        <w:rPr>
          <w:rFonts w:hint="eastAsia"/>
          <w:b/>
          <w:szCs w:val="24"/>
        </w:rPr>
        <w:t>】</w:t>
      </w:r>
    </w:p>
    <w:p w14:paraId="4D456499">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知识目标：</w:t>
      </w:r>
    </w:p>
    <w:p w14:paraId="3C9CC1CD">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 w:val="24"/>
          <w:szCs w:val="24"/>
          <w:lang w:val="en-US" w:eastAsia="zh-CN"/>
        </w:rPr>
      </w:pPr>
      <w:r>
        <w:rPr>
          <w:rFonts w:hint="eastAsia"/>
          <w:b w:val="0"/>
          <w:bCs/>
          <w:sz w:val="24"/>
          <w:szCs w:val="24"/>
          <w:lang w:val="en-US" w:eastAsia="zh-CN"/>
        </w:rPr>
        <w:t>1.了解应收账款的审计目标和审计程序。</w:t>
      </w:r>
    </w:p>
    <w:p w14:paraId="415D928E">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 w:val="24"/>
          <w:szCs w:val="24"/>
          <w:lang w:val="en-US" w:eastAsia="zh-CN"/>
        </w:rPr>
      </w:pPr>
      <w:r>
        <w:rPr>
          <w:rFonts w:hint="eastAsia"/>
          <w:b w:val="0"/>
          <w:bCs/>
          <w:sz w:val="24"/>
          <w:szCs w:val="24"/>
          <w:lang w:val="en-US" w:eastAsia="zh-CN"/>
        </w:rPr>
        <w:t>2.了解如何实施应收账款函证程序。</w:t>
      </w:r>
    </w:p>
    <w:p w14:paraId="17E011A8">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 w:val="24"/>
          <w:szCs w:val="24"/>
          <w:lang w:val="en-US" w:eastAsia="zh-CN"/>
        </w:rPr>
      </w:pPr>
      <w:r>
        <w:rPr>
          <w:rFonts w:hint="eastAsia"/>
          <w:b w:val="0"/>
          <w:bCs/>
          <w:sz w:val="24"/>
          <w:szCs w:val="24"/>
          <w:lang w:val="en-US" w:eastAsia="zh-CN"/>
        </w:rPr>
        <w:t>3.了解电子询证函平台的使用要求，以及区块链技术在电子询证函平台中的应用。</w:t>
      </w:r>
    </w:p>
    <w:p w14:paraId="0017A727">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技能目标：</w:t>
      </w:r>
    </w:p>
    <w:p w14:paraId="58A4A5B8">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 w:val="24"/>
          <w:szCs w:val="24"/>
          <w:lang w:val="en-US" w:eastAsia="zh-CN"/>
        </w:rPr>
      </w:pPr>
      <w:r>
        <w:rPr>
          <w:rFonts w:hint="eastAsia"/>
          <w:b w:val="0"/>
          <w:bCs/>
          <w:sz w:val="24"/>
          <w:szCs w:val="24"/>
          <w:lang w:val="en-US" w:eastAsia="zh-CN"/>
        </w:rPr>
        <w:t>1.能够分析项目任务，分解任务，规划项目进程，明确要完成的成果。</w:t>
      </w:r>
    </w:p>
    <w:p w14:paraId="34344502">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 w:val="24"/>
          <w:szCs w:val="24"/>
          <w:lang w:val="en-US" w:eastAsia="zh-CN"/>
        </w:rPr>
      </w:pPr>
      <w:r>
        <w:rPr>
          <w:rFonts w:hint="eastAsia"/>
          <w:b w:val="0"/>
          <w:bCs/>
          <w:sz w:val="24"/>
          <w:szCs w:val="24"/>
          <w:lang w:val="en-US" w:eastAsia="zh-CN"/>
        </w:rPr>
        <w:t>2.了解实现自动化办公的工具及技术。</w:t>
      </w:r>
    </w:p>
    <w:p w14:paraId="3A270FBD">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 w:val="24"/>
          <w:szCs w:val="24"/>
          <w:lang w:val="en-US" w:eastAsia="zh-CN"/>
        </w:rPr>
      </w:pPr>
      <w:r>
        <w:rPr>
          <w:rFonts w:hint="eastAsia"/>
          <w:b w:val="0"/>
          <w:bCs/>
          <w:sz w:val="24"/>
          <w:szCs w:val="24"/>
          <w:lang w:val="en-US" w:eastAsia="zh-CN"/>
        </w:rPr>
        <w:t>3.了解获得企业工商信息的工具及技术。</w:t>
      </w:r>
    </w:p>
    <w:p w14:paraId="2F639038">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 w:val="24"/>
          <w:szCs w:val="24"/>
          <w:lang w:val="en-US" w:eastAsia="zh-CN"/>
        </w:rPr>
      </w:pPr>
      <w:r>
        <w:rPr>
          <w:rFonts w:hint="eastAsia"/>
          <w:b w:val="0"/>
          <w:bCs/>
          <w:sz w:val="24"/>
          <w:szCs w:val="24"/>
          <w:lang w:val="en-US" w:eastAsia="zh-CN"/>
        </w:rPr>
        <w:t>4.能够应用python技术自动生成询证函，自动复核函证地址信息，自动划分应收账款信用分类。</w:t>
      </w:r>
    </w:p>
    <w:p w14:paraId="76918D1D">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素养目标：</w:t>
      </w:r>
    </w:p>
    <w:p w14:paraId="315FED09">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 w:val="24"/>
          <w:szCs w:val="24"/>
          <w:lang w:val="en-US" w:eastAsia="zh-CN"/>
        </w:rPr>
      </w:pPr>
      <w:r>
        <w:rPr>
          <w:rFonts w:hint="eastAsia"/>
          <w:b w:val="0"/>
          <w:bCs/>
          <w:sz w:val="24"/>
          <w:szCs w:val="24"/>
          <w:lang w:val="en-US" w:eastAsia="zh-CN"/>
        </w:rPr>
        <w:t>1.培养学生遵纪守法，恪守职业道德。</w:t>
      </w:r>
    </w:p>
    <w:p w14:paraId="6867D599">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 w:val="24"/>
          <w:szCs w:val="24"/>
          <w:lang w:val="en-US" w:eastAsia="zh-CN"/>
        </w:rPr>
      </w:pPr>
      <w:r>
        <w:rPr>
          <w:rFonts w:hint="eastAsia"/>
          <w:b w:val="0"/>
          <w:bCs/>
          <w:sz w:val="24"/>
          <w:szCs w:val="24"/>
          <w:lang w:val="en-US" w:eastAsia="zh-CN"/>
        </w:rPr>
        <w:t>2.培养学生养成独立思考的习惯，坚守初心，忠于职守。</w:t>
      </w:r>
    </w:p>
    <w:p w14:paraId="1C4F1123">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 w:val="24"/>
          <w:szCs w:val="24"/>
          <w:lang w:val="en-US" w:eastAsia="zh-CN"/>
        </w:rPr>
      </w:pPr>
      <w:r>
        <w:rPr>
          <w:rFonts w:hint="eastAsia"/>
          <w:b w:val="0"/>
          <w:bCs/>
          <w:sz w:val="24"/>
          <w:szCs w:val="24"/>
          <w:lang w:val="en-US" w:eastAsia="zh-CN"/>
        </w:rPr>
        <w:t>3.教育学生坚持马克思主义的立场、观点和方法分析问题，明辨事理。</w:t>
      </w:r>
    </w:p>
    <w:p w14:paraId="14D79FD5">
      <w:pPr>
        <w:keepNext w:val="0"/>
        <w:keepLines w:val="0"/>
        <w:pageBreakBefore w:val="0"/>
        <w:widowControl w:val="0"/>
        <w:kinsoku/>
        <w:wordWrap/>
        <w:overflowPunct/>
        <w:topLinePunct w:val="0"/>
        <w:autoSpaceDE/>
        <w:autoSpaceDN/>
        <w:bidi w:val="0"/>
        <w:adjustRightInd/>
        <w:snapToGrid w:val="0"/>
        <w:spacing w:line="460" w:lineRule="exact"/>
        <w:ind w:firstLine="482" w:firstLineChars="200"/>
        <w:jc w:val="both"/>
        <w:textAlignment w:val="auto"/>
        <w:rPr>
          <w:rFonts w:hint="eastAsia"/>
          <w:szCs w:val="24"/>
        </w:rPr>
      </w:pPr>
      <w:r>
        <w:rPr>
          <w:rFonts w:hint="eastAsia"/>
          <w:b/>
          <w:szCs w:val="24"/>
        </w:rPr>
        <w:t>【</w:t>
      </w:r>
      <w:r>
        <w:rPr>
          <w:rFonts w:hint="eastAsia" w:ascii="黑体" w:hAnsi="黑体" w:eastAsia="黑体" w:cs="黑体"/>
          <w:b w:val="0"/>
          <w:bCs/>
          <w:szCs w:val="24"/>
        </w:rPr>
        <w:t>教学重点与难点</w:t>
      </w:r>
      <w:r>
        <w:rPr>
          <w:rFonts w:hint="eastAsia"/>
          <w:b/>
          <w:szCs w:val="24"/>
        </w:rPr>
        <w:t>】</w:t>
      </w:r>
    </w:p>
    <w:p w14:paraId="749585D8">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教学重点：</w:t>
      </w:r>
    </w:p>
    <w:p w14:paraId="7884B0A6">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 w:val="24"/>
          <w:szCs w:val="24"/>
        </w:rPr>
      </w:pPr>
      <w:r>
        <w:rPr>
          <w:rFonts w:hint="eastAsia"/>
          <w:color w:val="000000"/>
          <w:sz w:val="24"/>
          <w:szCs w:val="24"/>
        </w:rPr>
        <w:t>1.应收账款的审计目标和审计程序。</w:t>
      </w:r>
    </w:p>
    <w:p w14:paraId="7D3E2956">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 w:val="24"/>
          <w:szCs w:val="24"/>
        </w:rPr>
      </w:pPr>
      <w:r>
        <w:rPr>
          <w:rFonts w:hint="eastAsia"/>
          <w:color w:val="000000"/>
          <w:sz w:val="24"/>
          <w:szCs w:val="24"/>
        </w:rPr>
        <w:t>2.如何实施应收账款函证程序。</w:t>
      </w:r>
    </w:p>
    <w:p w14:paraId="57E9EC76">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 w:val="24"/>
          <w:szCs w:val="24"/>
        </w:rPr>
      </w:pPr>
      <w:r>
        <w:rPr>
          <w:rFonts w:hint="eastAsia"/>
          <w:color w:val="000000"/>
          <w:sz w:val="24"/>
          <w:szCs w:val="24"/>
        </w:rPr>
        <w:t>3.建立和使用审计相关词库。</w:t>
      </w:r>
    </w:p>
    <w:p w14:paraId="1C826A6E">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教学难点：</w:t>
      </w:r>
    </w:p>
    <w:p w14:paraId="76D9B842">
      <w:pPr>
        <w:keepNext w:val="0"/>
        <w:keepLines w:val="0"/>
        <w:pageBreakBefore w:val="0"/>
        <w:widowControl w:val="0"/>
        <w:numPr>
          <w:ilvl w:val="0"/>
          <w:numId w:val="0"/>
        </w:numPr>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 w:val="24"/>
          <w:szCs w:val="24"/>
        </w:rPr>
      </w:pPr>
      <w:r>
        <w:rPr>
          <w:rFonts w:hint="eastAsia"/>
          <w:color w:val="000000"/>
          <w:sz w:val="24"/>
          <w:szCs w:val="24"/>
        </w:rPr>
        <w:t>应用python技术自动生成询证函，自动复核函证地址信息，自动划分应收账款信用分类。</w:t>
      </w:r>
    </w:p>
    <w:p w14:paraId="73412C93">
      <w:pPr>
        <w:keepNext w:val="0"/>
        <w:keepLines w:val="0"/>
        <w:pageBreakBefore w:val="0"/>
        <w:widowControl w:val="0"/>
        <w:numPr>
          <w:ilvl w:val="0"/>
          <w:numId w:val="0"/>
        </w:numPr>
        <w:kinsoku/>
        <w:wordWrap/>
        <w:overflowPunct/>
        <w:topLinePunct w:val="0"/>
        <w:autoSpaceDE/>
        <w:autoSpaceDN/>
        <w:bidi w:val="0"/>
        <w:adjustRightInd/>
        <w:snapToGrid w:val="0"/>
        <w:spacing w:line="460" w:lineRule="exact"/>
        <w:ind w:firstLine="480" w:firstLineChars="200"/>
        <w:jc w:val="both"/>
        <w:textAlignment w:val="auto"/>
        <w:rPr>
          <w:color w:val="000000"/>
          <w:sz w:val="24"/>
          <w:szCs w:val="24"/>
        </w:rPr>
      </w:pPr>
      <w:r>
        <w:rPr>
          <w:rFonts w:hint="eastAsia"/>
          <w:color w:val="000000"/>
          <w:szCs w:val="24"/>
        </w:rPr>
        <w:t>【</w:t>
      </w:r>
      <w:r>
        <w:rPr>
          <w:rFonts w:hint="eastAsia" w:ascii="黑体" w:hAnsi="黑体" w:eastAsia="黑体" w:cs="黑体"/>
          <w:b w:val="0"/>
          <w:bCs/>
          <w:szCs w:val="24"/>
          <w:lang w:val="en-US" w:eastAsia="zh-CN"/>
        </w:rPr>
        <w:t>授课课时</w:t>
      </w:r>
      <w:r>
        <w:rPr>
          <w:rFonts w:hint="eastAsia"/>
          <w:color w:val="000000"/>
          <w:szCs w:val="24"/>
        </w:rPr>
        <w:t>】</w:t>
      </w:r>
      <w:r>
        <w:rPr>
          <w:rFonts w:hint="eastAsia"/>
          <w:color w:val="000000"/>
          <w:sz w:val="24"/>
          <w:szCs w:val="24"/>
          <w:lang w:val="en-US" w:eastAsia="zh-CN"/>
        </w:rPr>
        <w:t>6</w:t>
      </w:r>
      <w:r>
        <w:rPr>
          <w:rFonts w:hint="eastAsia"/>
          <w:color w:val="000000"/>
          <w:sz w:val="24"/>
          <w:szCs w:val="24"/>
        </w:rPr>
        <w:t>课时</w:t>
      </w:r>
    </w:p>
    <w:p w14:paraId="6C1F3CC2">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 w:val="24"/>
          <w:szCs w:val="24"/>
        </w:rPr>
      </w:pPr>
      <w:r>
        <w:rPr>
          <w:rFonts w:hint="eastAsia"/>
          <w:color w:val="000000"/>
          <w:szCs w:val="24"/>
        </w:rPr>
        <w:t>【</w:t>
      </w:r>
      <w:r>
        <w:rPr>
          <w:rFonts w:hint="eastAsia" w:ascii="黑体" w:hAnsi="黑体" w:eastAsia="黑体" w:cs="黑体"/>
          <w:b w:val="0"/>
          <w:bCs/>
          <w:szCs w:val="24"/>
          <w:lang w:val="en-US" w:eastAsia="zh-CN"/>
        </w:rPr>
        <w:t>教学方法和手段</w:t>
      </w:r>
      <w:r>
        <w:rPr>
          <w:rFonts w:hint="eastAsia"/>
          <w:color w:val="000000"/>
          <w:szCs w:val="24"/>
        </w:rPr>
        <w:t>】</w:t>
      </w:r>
      <w:r>
        <w:rPr>
          <w:rFonts w:hint="eastAsia"/>
          <w:color w:val="000000"/>
          <w:sz w:val="24"/>
          <w:szCs w:val="24"/>
        </w:rPr>
        <w:t>学情分析、</w:t>
      </w:r>
      <w:r>
        <w:rPr>
          <w:rFonts w:hint="eastAsia"/>
          <w:color w:val="000000"/>
          <w:sz w:val="24"/>
          <w:szCs w:val="24"/>
          <w:lang w:val="en-US" w:eastAsia="zh-CN"/>
        </w:rPr>
        <w:t>课堂</w:t>
      </w:r>
      <w:r>
        <w:rPr>
          <w:rFonts w:hint="eastAsia"/>
          <w:color w:val="000000"/>
          <w:sz w:val="24"/>
          <w:szCs w:val="24"/>
        </w:rPr>
        <w:t>讲授、课堂讨论、提问互动、</w:t>
      </w:r>
      <w:r>
        <w:rPr>
          <w:rFonts w:hint="eastAsia"/>
          <w:color w:val="000000"/>
          <w:sz w:val="24"/>
          <w:szCs w:val="24"/>
          <w:lang w:val="en-US" w:eastAsia="zh-CN"/>
        </w:rPr>
        <w:t>多媒体教学</w:t>
      </w:r>
      <w:r>
        <w:rPr>
          <w:rFonts w:hint="eastAsia"/>
          <w:color w:val="000000"/>
          <w:sz w:val="24"/>
          <w:szCs w:val="24"/>
        </w:rPr>
        <w:t>、</w:t>
      </w:r>
      <w:r>
        <w:rPr>
          <w:rFonts w:hint="eastAsia"/>
          <w:color w:val="000000"/>
          <w:sz w:val="24"/>
          <w:szCs w:val="24"/>
          <w:lang w:val="en-US" w:eastAsia="zh-CN"/>
        </w:rPr>
        <w:t>理实一体</w:t>
      </w:r>
      <w:r>
        <w:rPr>
          <w:rFonts w:hint="eastAsia"/>
          <w:color w:val="000000"/>
          <w:sz w:val="24"/>
          <w:szCs w:val="24"/>
        </w:rPr>
        <w:t>、在线答疑。</w:t>
      </w:r>
    </w:p>
    <w:p w14:paraId="5EF0B13F">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w:t>
      </w:r>
      <w:r>
        <w:rPr>
          <w:rFonts w:hint="eastAsia" w:ascii="黑体" w:hAnsi="黑体" w:eastAsia="黑体" w:cs="黑体"/>
          <w:b w:val="0"/>
          <w:bCs/>
          <w:szCs w:val="24"/>
          <w:lang w:val="en-US" w:eastAsia="zh-CN"/>
        </w:rPr>
        <w:t>教学过程</w:t>
      </w:r>
      <w:r>
        <w:rPr>
          <w:rFonts w:hint="eastAsia"/>
          <w:color w:val="000000"/>
          <w:szCs w:val="24"/>
        </w:rPr>
        <w:t>】</w:t>
      </w:r>
    </w:p>
    <w:p w14:paraId="527C5967">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一、教学组织</w:t>
      </w:r>
    </w:p>
    <w:tbl>
      <w:tblPr>
        <w:tblStyle w:val="3"/>
        <w:tblW w:w="49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52"/>
        <w:gridCol w:w="1300"/>
      </w:tblGrid>
      <w:tr w14:paraId="018FF6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1D6C3839">
            <w:pPr>
              <w:widowControl/>
              <w:adjustRightInd/>
              <w:snapToGrid w:val="0"/>
              <w:spacing w:line="240" w:lineRule="auto"/>
              <w:jc w:val="center"/>
              <w:textAlignment w:val="auto"/>
              <w:rPr>
                <w:rFonts w:hint="eastAsia" w:ascii="黑体" w:hAnsi="黑体" w:eastAsia="黑体" w:cs="宋体"/>
                <w:bCs/>
                <w:sz w:val="24"/>
                <w:szCs w:val="24"/>
              </w:rPr>
            </w:pPr>
            <w:r>
              <w:rPr>
                <w:rFonts w:hint="eastAsia" w:ascii="黑体" w:hAnsi="黑体" w:eastAsia="黑体" w:cs="宋体"/>
                <w:bCs/>
                <w:sz w:val="24"/>
                <w:szCs w:val="24"/>
              </w:rPr>
              <w:t>教学环节</w:t>
            </w:r>
          </w:p>
        </w:tc>
        <w:tc>
          <w:tcPr>
            <w:tcW w:w="778" w:type="pct"/>
            <w:noWrap w:val="0"/>
            <w:vAlign w:val="center"/>
          </w:tcPr>
          <w:p w14:paraId="1A6D62F0">
            <w:pPr>
              <w:widowControl/>
              <w:adjustRightInd/>
              <w:snapToGrid w:val="0"/>
              <w:spacing w:line="240" w:lineRule="auto"/>
              <w:jc w:val="center"/>
              <w:textAlignment w:val="auto"/>
              <w:rPr>
                <w:rFonts w:hint="eastAsia" w:ascii="黑体" w:hAnsi="黑体" w:eastAsia="黑体" w:cs="宋体"/>
                <w:bCs/>
                <w:sz w:val="24"/>
                <w:szCs w:val="24"/>
              </w:rPr>
            </w:pPr>
            <w:r>
              <w:rPr>
                <w:rFonts w:hint="eastAsia" w:ascii="黑体" w:hAnsi="黑体" w:eastAsia="黑体" w:cs="宋体"/>
                <w:bCs/>
                <w:sz w:val="24"/>
                <w:szCs w:val="24"/>
              </w:rPr>
              <w:t>时间安排</w:t>
            </w:r>
          </w:p>
        </w:tc>
      </w:tr>
      <w:tr w14:paraId="789730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3586E41B">
            <w:pPr>
              <w:adjustRightInd/>
              <w:snapToGrid w:val="0"/>
              <w:spacing w:line="240" w:lineRule="auto"/>
              <w:jc w:val="both"/>
              <w:textAlignment w:val="auto"/>
              <w:rPr>
                <w:rFonts w:eastAsia="宋体"/>
                <w:sz w:val="21"/>
                <w:szCs w:val="21"/>
              </w:rPr>
            </w:pPr>
            <w:r>
              <w:rPr>
                <w:rFonts w:hint="eastAsia" w:ascii="黑体" w:hAnsi="黑体" w:eastAsia="黑体" w:cs="宋体"/>
                <w:sz w:val="21"/>
                <w:szCs w:val="21"/>
              </w:rPr>
              <w:t>导入新课：</w:t>
            </w:r>
            <w:r>
              <w:rPr>
                <w:rFonts w:hint="eastAsia" w:hAnsi="宋体" w:cs="宋体"/>
                <w:sz w:val="21"/>
                <w:szCs w:val="21"/>
              </w:rPr>
              <w:t>学情统计、</w:t>
            </w:r>
            <w:r>
              <w:rPr>
                <w:rFonts w:hint="eastAsia"/>
                <w:sz w:val="21"/>
                <w:szCs w:val="21"/>
              </w:rPr>
              <w:t>提问互动、启发引导</w:t>
            </w:r>
          </w:p>
        </w:tc>
        <w:tc>
          <w:tcPr>
            <w:tcW w:w="778" w:type="pct"/>
            <w:noWrap w:val="0"/>
            <w:vAlign w:val="center"/>
          </w:tcPr>
          <w:p w14:paraId="364A5EE7">
            <w:pPr>
              <w:adjustRightInd/>
              <w:snapToGrid w:val="0"/>
              <w:spacing w:line="240" w:lineRule="auto"/>
              <w:jc w:val="center"/>
              <w:textAlignment w:val="auto"/>
              <w:rPr>
                <w:rFonts w:hint="eastAsia" w:hAnsi="宋体" w:cs="宋体"/>
                <w:sz w:val="21"/>
                <w:szCs w:val="21"/>
              </w:rPr>
            </w:pPr>
            <w:r>
              <w:rPr>
                <w:rFonts w:hint="eastAsia"/>
                <w:sz w:val="21"/>
                <w:szCs w:val="21"/>
              </w:rPr>
              <w:t>10分钟</w:t>
            </w:r>
          </w:p>
        </w:tc>
      </w:tr>
      <w:tr w14:paraId="643C69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1EEAC20C">
            <w:pPr>
              <w:adjustRightInd/>
              <w:snapToGrid w:val="0"/>
              <w:spacing w:line="240" w:lineRule="auto"/>
              <w:jc w:val="both"/>
              <w:textAlignment w:val="auto"/>
              <w:rPr>
                <w:rFonts w:hint="eastAsia"/>
                <w:color w:val="000000"/>
                <w:sz w:val="21"/>
                <w:szCs w:val="21"/>
              </w:rPr>
            </w:pPr>
            <w:r>
              <w:rPr>
                <w:rFonts w:hint="eastAsia" w:ascii="黑体" w:hAnsi="黑体" w:eastAsia="黑体" w:cs="宋体"/>
                <w:sz w:val="21"/>
                <w:szCs w:val="21"/>
              </w:rPr>
              <w:t>新课讲授：</w:t>
            </w:r>
            <w:r>
              <w:rPr>
                <w:rFonts w:hint="eastAsia"/>
                <w:color w:val="000000"/>
                <w:sz w:val="21"/>
                <w:szCs w:val="21"/>
                <w:lang w:val="en-US" w:eastAsia="zh-CN"/>
              </w:rPr>
              <w:t>课堂</w:t>
            </w:r>
            <w:r>
              <w:rPr>
                <w:rFonts w:hint="eastAsia"/>
                <w:color w:val="000000"/>
                <w:sz w:val="21"/>
                <w:szCs w:val="21"/>
              </w:rPr>
              <w:t>讲授、</w:t>
            </w:r>
            <w:r>
              <w:rPr>
                <w:rFonts w:hint="eastAsia"/>
                <w:color w:val="000000"/>
                <w:sz w:val="21"/>
                <w:szCs w:val="21"/>
                <w:lang w:val="en-US" w:eastAsia="zh-CN"/>
              </w:rPr>
              <w:t>小组讨论</w:t>
            </w:r>
            <w:r>
              <w:rPr>
                <w:rFonts w:hint="eastAsia"/>
                <w:color w:val="000000"/>
                <w:sz w:val="21"/>
                <w:szCs w:val="21"/>
              </w:rPr>
              <w:t>、</w:t>
            </w:r>
            <w:r>
              <w:rPr>
                <w:rFonts w:hint="eastAsia"/>
                <w:color w:val="000000"/>
                <w:sz w:val="21"/>
                <w:szCs w:val="21"/>
                <w:lang w:val="en-US" w:eastAsia="zh-CN"/>
              </w:rPr>
              <w:t>多媒体展示</w:t>
            </w:r>
            <w:r>
              <w:rPr>
                <w:rFonts w:hint="eastAsia"/>
                <w:color w:val="000000"/>
                <w:sz w:val="21"/>
                <w:szCs w:val="21"/>
              </w:rPr>
              <w:t>、微课视频</w:t>
            </w:r>
          </w:p>
          <w:p w14:paraId="45A6EF9A">
            <w:pPr>
              <w:adjustRightInd/>
              <w:snapToGrid w:val="0"/>
              <w:spacing w:line="240" w:lineRule="auto"/>
              <w:jc w:val="both"/>
              <w:textAlignment w:val="auto"/>
              <w:rPr>
                <w:rFonts w:hint="default" w:eastAsia="宋体"/>
                <w:sz w:val="21"/>
                <w:szCs w:val="21"/>
                <w:lang w:val="en-US" w:eastAsia="zh-CN"/>
              </w:rPr>
            </w:pPr>
            <w:r>
              <w:rPr>
                <w:rFonts w:hint="eastAsia" w:ascii="黑体" w:hAnsi="黑体" w:eastAsia="黑体" w:cs="宋体"/>
                <w:sz w:val="21"/>
                <w:szCs w:val="21"/>
                <w:lang w:val="en-US" w:eastAsia="zh-CN"/>
              </w:rPr>
              <w:t>学生实操：</w:t>
            </w:r>
            <w:r>
              <w:rPr>
                <w:rFonts w:hint="eastAsia"/>
                <w:color w:val="000000"/>
                <w:sz w:val="21"/>
                <w:szCs w:val="21"/>
                <w:lang w:val="en-US" w:eastAsia="zh-CN"/>
              </w:rPr>
              <w:t>利用大数据审计平台进行实务操作</w:t>
            </w:r>
          </w:p>
        </w:tc>
        <w:tc>
          <w:tcPr>
            <w:tcW w:w="778" w:type="pct"/>
            <w:noWrap w:val="0"/>
            <w:vAlign w:val="center"/>
          </w:tcPr>
          <w:p w14:paraId="6EFD9216">
            <w:pPr>
              <w:adjustRightInd/>
              <w:snapToGrid w:val="0"/>
              <w:spacing w:line="240" w:lineRule="auto"/>
              <w:jc w:val="center"/>
              <w:textAlignment w:val="auto"/>
              <w:rPr>
                <w:sz w:val="21"/>
                <w:szCs w:val="21"/>
              </w:rPr>
            </w:pPr>
            <w:r>
              <w:rPr>
                <w:rFonts w:hint="eastAsia"/>
                <w:sz w:val="21"/>
                <w:szCs w:val="21"/>
                <w:lang w:val="en-US" w:eastAsia="zh-CN"/>
              </w:rPr>
              <w:t>280</w:t>
            </w:r>
            <w:r>
              <w:rPr>
                <w:rFonts w:hint="eastAsia"/>
                <w:sz w:val="21"/>
                <w:szCs w:val="21"/>
              </w:rPr>
              <w:t>分钟</w:t>
            </w:r>
          </w:p>
        </w:tc>
      </w:tr>
      <w:tr w14:paraId="6B0684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682D6CE8">
            <w:pPr>
              <w:widowControl/>
              <w:adjustRightInd/>
              <w:snapToGrid w:val="0"/>
              <w:spacing w:line="240" w:lineRule="auto"/>
              <w:jc w:val="both"/>
              <w:textAlignment w:val="auto"/>
              <w:rPr>
                <w:rFonts w:hAnsi="宋体" w:eastAsia="宋体" w:cs="宋体"/>
                <w:sz w:val="21"/>
                <w:szCs w:val="21"/>
              </w:rPr>
            </w:pPr>
            <w:r>
              <w:rPr>
                <w:rFonts w:hint="eastAsia" w:ascii="黑体" w:hAnsi="黑体" w:eastAsia="黑体" w:cs="宋体"/>
                <w:sz w:val="21"/>
                <w:szCs w:val="21"/>
                <w:lang w:val="en-US" w:eastAsia="zh-CN"/>
              </w:rPr>
              <w:t>项目小结</w:t>
            </w:r>
            <w:r>
              <w:rPr>
                <w:rFonts w:hint="eastAsia" w:ascii="黑体" w:hAnsi="黑体" w:eastAsia="黑体" w:cs="宋体"/>
                <w:sz w:val="21"/>
                <w:szCs w:val="21"/>
              </w:rPr>
              <w:t>：</w:t>
            </w:r>
            <w:r>
              <w:rPr>
                <w:rFonts w:hint="eastAsia"/>
                <w:color w:val="000000"/>
                <w:sz w:val="21"/>
                <w:szCs w:val="21"/>
              </w:rPr>
              <w:t>归纳总结、理论讲授</w:t>
            </w:r>
          </w:p>
        </w:tc>
        <w:tc>
          <w:tcPr>
            <w:tcW w:w="778" w:type="pct"/>
            <w:noWrap w:val="0"/>
            <w:vAlign w:val="center"/>
          </w:tcPr>
          <w:p w14:paraId="610014D3">
            <w:pPr>
              <w:widowControl/>
              <w:adjustRightInd/>
              <w:snapToGrid w:val="0"/>
              <w:spacing w:line="240" w:lineRule="auto"/>
              <w:jc w:val="center"/>
              <w:textAlignment w:val="auto"/>
              <w:rPr>
                <w:rFonts w:hint="eastAsia" w:hAnsi="宋体" w:cs="宋体"/>
                <w:sz w:val="21"/>
                <w:szCs w:val="21"/>
              </w:rPr>
            </w:pPr>
            <w:r>
              <w:rPr>
                <w:rFonts w:hint="eastAsia" w:hAnsi="宋体" w:cs="宋体"/>
                <w:sz w:val="21"/>
                <w:szCs w:val="21"/>
              </w:rPr>
              <w:t>5分钟</w:t>
            </w:r>
          </w:p>
        </w:tc>
      </w:tr>
      <w:tr w14:paraId="57A976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34E400D6">
            <w:pPr>
              <w:widowControl/>
              <w:adjustRightInd/>
              <w:snapToGrid w:val="0"/>
              <w:spacing w:line="240" w:lineRule="auto"/>
              <w:jc w:val="both"/>
              <w:textAlignment w:val="auto"/>
              <w:rPr>
                <w:rFonts w:hAnsi="宋体" w:eastAsia="宋体" w:cs="宋体"/>
                <w:sz w:val="21"/>
                <w:szCs w:val="21"/>
              </w:rPr>
            </w:pPr>
            <w:r>
              <w:rPr>
                <w:rFonts w:hint="eastAsia" w:ascii="黑体" w:hAnsi="黑体" w:eastAsia="黑体" w:cs="宋体"/>
                <w:sz w:val="21"/>
                <w:szCs w:val="21"/>
                <w:lang w:val="en-US" w:eastAsia="zh-CN"/>
              </w:rPr>
              <w:t>课后拓展</w:t>
            </w:r>
            <w:r>
              <w:rPr>
                <w:rFonts w:hint="eastAsia" w:ascii="黑体" w:hAnsi="黑体" w:eastAsia="黑体" w:cs="宋体"/>
                <w:sz w:val="21"/>
                <w:szCs w:val="21"/>
              </w:rPr>
              <w:t>：</w:t>
            </w:r>
            <w:r>
              <w:rPr>
                <w:rFonts w:hint="eastAsia" w:hAnsi="宋体" w:cs="宋体"/>
                <w:sz w:val="21"/>
                <w:szCs w:val="21"/>
              </w:rPr>
              <w:t>课后作业；</w:t>
            </w:r>
            <w:r>
              <w:rPr>
                <w:rFonts w:hint="eastAsia" w:hAnsi="宋体" w:cs="宋体"/>
                <w:sz w:val="21"/>
                <w:szCs w:val="21"/>
                <w:lang w:val="en-US" w:eastAsia="zh-CN"/>
              </w:rPr>
              <w:t>实践任务；</w:t>
            </w:r>
            <w:r>
              <w:rPr>
                <w:rFonts w:hint="eastAsia" w:hAnsi="宋体" w:cs="宋体"/>
                <w:sz w:val="21"/>
                <w:szCs w:val="21"/>
              </w:rPr>
              <w:t>下次课程资料预习</w:t>
            </w:r>
          </w:p>
        </w:tc>
        <w:tc>
          <w:tcPr>
            <w:tcW w:w="778" w:type="pct"/>
            <w:noWrap w:val="0"/>
            <w:vAlign w:val="center"/>
          </w:tcPr>
          <w:p w14:paraId="191A5318">
            <w:pPr>
              <w:widowControl/>
              <w:adjustRightInd/>
              <w:snapToGrid w:val="0"/>
              <w:spacing w:line="240" w:lineRule="auto"/>
              <w:jc w:val="center"/>
              <w:textAlignment w:val="auto"/>
              <w:rPr>
                <w:rFonts w:hint="eastAsia" w:hAnsi="宋体" w:cs="宋体"/>
                <w:sz w:val="21"/>
                <w:szCs w:val="21"/>
              </w:rPr>
            </w:pPr>
            <w:r>
              <w:rPr>
                <w:rFonts w:hint="eastAsia" w:hAnsi="宋体" w:cs="宋体"/>
                <w:sz w:val="21"/>
                <w:szCs w:val="21"/>
              </w:rPr>
              <w:t>5分钟</w:t>
            </w:r>
          </w:p>
        </w:tc>
      </w:tr>
    </w:tbl>
    <w:p w14:paraId="52F68795">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sz w:val="28"/>
          <w:szCs w:val="28"/>
        </w:rPr>
      </w:pPr>
      <w:r>
        <w:rPr>
          <w:rFonts w:hint="eastAsia" w:ascii="黑体" w:hAnsi="黑体" w:eastAsia="黑体" w:cs="Times New Roman"/>
          <w:sz w:val="24"/>
          <w:szCs w:val="24"/>
          <w:lang w:val="en-US" w:eastAsia="zh-CN" w:bidi="ar-SA"/>
        </w:rPr>
        <w:t>二、</w:t>
      </w:r>
      <w:r>
        <w:rPr>
          <w:rFonts w:hint="eastAsia" w:ascii="黑体" w:hAnsi="黑体" w:eastAsia="黑体"/>
          <w:sz w:val="24"/>
          <w:szCs w:val="24"/>
        </w:rPr>
        <w:t>导入新课</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0537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3" w:type="dxa"/>
          </w:tcPr>
          <w:p w14:paraId="3D602BE8">
            <w:pPr>
              <w:numPr>
                <w:ilvl w:val="0"/>
                <w:numId w:val="0"/>
              </w:numPr>
              <w:adjustRightInd/>
              <w:snapToGrid w:val="0"/>
              <w:spacing w:before="163" w:beforeLines="50" w:line="360" w:lineRule="auto"/>
              <w:jc w:val="center"/>
              <w:textAlignment w:val="auto"/>
              <w:rPr>
                <w:rFonts w:hint="default" w:ascii="黑体" w:hAnsi="黑体" w:eastAsia="黑体"/>
                <w:sz w:val="28"/>
                <w:szCs w:val="28"/>
                <w:vertAlign w:val="baseline"/>
                <w:lang w:val="en-US" w:eastAsia="zh-CN"/>
              </w:rPr>
            </w:pPr>
            <w:r>
              <w:rPr>
                <w:rFonts w:hint="eastAsia" w:ascii="黑体" w:hAnsi="黑体" w:eastAsia="黑体"/>
                <w:sz w:val="24"/>
                <w:szCs w:val="24"/>
                <w:lang w:val="en-US" w:eastAsia="zh-CN"/>
              </w:rPr>
              <w:t>项目引例</w:t>
            </w:r>
          </w:p>
        </w:tc>
      </w:tr>
      <w:tr w14:paraId="591EB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3" w:type="dxa"/>
          </w:tcPr>
          <w:p w14:paraId="373E2802">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蓝山科技通过虚增银行存款、虚构销售业务、虚构研发支出、虚列运费支出方式，虚增收入、资产和利润。导致其公告的2017年至2019年度报告披露的财务数据存在虚假记载。同时，2020年4月29日，南山科技向全国中小企业股份转让系统有限责任公司以下简称全国股转公司提交了向不特定合格投资者公开发行股票说明书申报稿以下简称公开发行说明书，并进行了公告。南山科技公告的公开发行说明书中包括蓝山科技2017年度至2019年度三年的财务数据，其公告的证券发行文件。在财务会计信息、业务与技术、公司治理与独立性等方面编造重大虚假内容。中兴彩所是蓝山科技2017年到2019年度财务报表和2020年公开发行股票事项审计机构，为蓝山科技出具了2017年度至2019年度标准无保留意见的审计报告，用于蓝山科技在创新层的定期报告信息披露。2020年的4月29日，蓝山科技精选层申报时又单独披露了2017年度至2019年度审计报告。另外，在蓝山科技2020年4月29日公开披露的公开发行说明书中，披露了钟兴材所对公开发行说明书中引用的审计报告等内容无异议，并对其真实性、准确性、完整性承担相应法律责任。依据中华人民共和国证券法的有关规定。中国证券。会。对中兴财所关于北京蓝山科技股份有限公司。信息披露相关业务为勤勉尽责一案进行了立案调查审理，并依法向当事人告知了作出行政处罚的事实、理由、依据及当事人依法享有的权利。</w:t>
            </w:r>
          </w:p>
          <w:p w14:paraId="220AD1E1">
            <w:pPr>
              <w:keepNext w:val="0"/>
              <w:keepLines w:val="0"/>
              <w:pageBreakBefore w:val="0"/>
              <w:numPr>
                <w:ilvl w:val="0"/>
                <w:numId w:val="0"/>
              </w:numPr>
              <w:kinsoku/>
              <w:wordWrap/>
              <w:overflowPunct/>
              <w:topLinePunct w:val="0"/>
              <w:autoSpaceDE/>
              <w:autoSpaceDN/>
              <w:bidi w:val="0"/>
              <w:adjustRightInd/>
              <w:snapToGrid/>
              <w:spacing w:line="252" w:lineRule="auto"/>
              <w:jc w:val="both"/>
              <w:textAlignment w:val="auto"/>
              <w:rPr>
                <w:rFonts w:hint="eastAsia" w:ascii="黑体" w:hAnsi="黑体" w:eastAsia="黑体"/>
                <w:sz w:val="28"/>
                <w:szCs w:val="28"/>
                <w:vertAlign w:val="baseline"/>
              </w:rPr>
            </w:pPr>
            <w:r>
              <w:rPr>
                <w:rFonts w:hint="eastAsia" w:ascii="黑体" w:hAnsi="黑体" w:eastAsia="黑体" w:cs="黑体"/>
                <w:b/>
                <w:bCs/>
                <w:color w:val="C00000"/>
                <w:sz w:val="21"/>
                <w:szCs w:val="21"/>
                <w:lang w:val="en-US" w:eastAsia="zh-CN"/>
              </w:rPr>
              <w:t>思考与讨论：</w:t>
            </w:r>
            <w:r>
              <w:rPr>
                <w:rFonts w:hint="eastAsia" w:ascii="宋体" w:hAnsi="宋体" w:eastAsia="宋体" w:cs="宋体"/>
                <w:color w:val="1A0000"/>
                <w:kern w:val="0"/>
                <w:sz w:val="21"/>
                <w:szCs w:val="21"/>
                <w:lang w:val="en-US" w:eastAsia="zh-CN" w:bidi="ar"/>
              </w:rPr>
              <w:t>综合阅读近年来证监会对上市公司、会计师事务所行政处罚书可以发现，蓝山科技财务造假手段并非个例，中兴财所在审计过程中的失误也具有代表性，大量财务报表舞弊的处罚中都涉及应收账款函证问题。企业对应收账款进行舞弊的动机是什么？怎样的企业有较高的应收账款舞弊风险？</w:t>
            </w:r>
          </w:p>
        </w:tc>
      </w:tr>
    </w:tbl>
    <w:p w14:paraId="698E64F8">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三、新课讲授</w:t>
      </w:r>
    </w:p>
    <w:tbl>
      <w:tblPr>
        <w:tblStyle w:val="3"/>
        <w:tblW w:w="4900" w:type="pct"/>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108" w:type="dxa"/>
          <w:bottom w:w="0" w:type="dxa"/>
          <w:right w:w="108" w:type="dxa"/>
        </w:tblCellMar>
      </w:tblPr>
      <w:tblGrid>
        <w:gridCol w:w="8352"/>
      </w:tblGrid>
      <w:tr w14:paraId="4C0C63C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jc w:val="center"/>
        </w:trPr>
        <w:tc>
          <w:tcPr>
            <w:tcW w:w="8523" w:type="dxa"/>
            <w:noWrap w:val="0"/>
            <w:vAlign w:val="top"/>
          </w:tcPr>
          <w:p w14:paraId="035AA0EF">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default" w:ascii="黑体" w:hAnsi="黑体" w:eastAsia="黑体"/>
                <w:bCs/>
                <w:sz w:val="28"/>
                <w:szCs w:val="28"/>
                <w:lang w:val="en-US" w:eastAsia="zh-CN"/>
              </w:rPr>
            </w:pPr>
            <w:r>
              <w:rPr>
                <w:rFonts w:hint="eastAsia" w:ascii="黑体" w:hAnsi="黑体" w:eastAsia="黑体"/>
                <w:bCs/>
                <w:sz w:val="28"/>
                <w:szCs w:val="28"/>
                <w:lang w:val="en-US" w:eastAsia="zh-CN"/>
              </w:rPr>
              <w:t>项目八 风险应对——应收账款实质性程序</w:t>
            </w:r>
          </w:p>
          <w:p w14:paraId="54EBC9D3">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default" w:ascii="黑体" w:hAnsi="黑体" w:eastAsia="黑体"/>
                <w:sz w:val="24"/>
                <w:szCs w:val="24"/>
                <w:lang w:val="en-US" w:eastAsia="zh-CN"/>
              </w:rPr>
            </w:pPr>
            <w:r>
              <w:rPr>
                <w:rFonts w:hint="eastAsia" w:ascii="黑体" w:hAnsi="黑体" w:eastAsia="黑体"/>
                <w:sz w:val="24"/>
                <w:szCs w:val="24"/>
                <w:lang w:val="en-US" w:eastAsia="zh-CN"/>
              </w:rPr>
              <w:t>任务一</w:t>
            </w:r>
            <w:r>
              <w:rPr>
                <w:rFonts w:ascii="黑体" w:hAnsi="黑体" w:eastAsia="黑体"/>
                <w:sz w:val="24"/>
                <w:szCs w:val="24"/>
              </w:rPr>
              <w:t xml:space="preserve">  </w:t>
            </w:r>
            <w:r>
              <w:rPr>
                <w:rFonts w:hint="eastAsia" w:ascii="黑体" w:hAnsi="黑体" w:eastAsia="黑体"/>
                <w:sz w:val="24"/>
                <w:szCs w:val="24"/>
                <w:lang w:val="en-US" w:eastAsia="zh-CN"/>
              </w:rPr>
              <w:t>任务准备</w:t>
            </w:r>
          </w:p>
          <w:p w14:paraId="6D6B7EF8">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一、应收账款审计</w:t>
            </w:r>
          </w:p>
          <w:p w14:paraId="17573D94">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应收账款是指企业因销售商品或提供劳务而形成的现时收款权利。即由于企业销售商品、提供劳务等原因应向客户收取的款项。应收账款余额一般包括应收账款账面余额和相应的预期信用损失两个部分。</w:t>
            </w:r>
          </w:p>
          <w:p w14:paraId="288E1337">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（一）</w:t>
            </w:r>
            <w:r>
              <w:rPr>
                <w:rFonts w:hint="eastAsia" w:ascii="宋体" w:hAnsi="宋体" w:eastAsia="宋体" w:cs="宋体"/>
                <w:b/>
                <w:bCs/>
                <w:sz w:val="21"/>
                <w:szCs w:val="21"/>
                <w:lang w:val="en-US" w:eastAsia="zh-CN"/>
              </w:rPr>
              <w:t>应收账款审计目标</w:t>
            </w:r>
          </w:p>
          <w:p w14:paraId="2B128EED">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xml:space="preserve">企业的应收账款是在销售交易或提供劳务过程中产生的。企业的销售如果属于赊账，即 销售实现时没有立即收取现款，而是获得了要求客户在一定条件下和一定时间内支付货款的 权利，就产生了应收账款。因此，应收账款的审计应结合销售交易来进行。 </w:t>
            </w:r>
          </w:p>
          <w:p w14:paraId="2D7774FE">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（二）</w:t>
            </w:r>
            <w:r>
              <w:rPr>
                <w:rFonts w:hint="eastAsia" w:ascii="宋体" w:hAnsi="宋体" w:eastAsia="宋体" w:cs="宋体"/>
                <w:b/>
                <w:bCs/>
                <w:sz w:val="21"/>
                <w:szCs w:val="21"/>
                <w:lang w:val="en-US" w:eastAsia="zh-CN"/>
              </w:rPr>
              <w:t>应收账款实质性程序</w:t>
            </w:r>
          </w:p>
          <w:p w14:paraId="33629A58">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1.取得应收账款明细表</w:t>
            </w:r>
          </w:p>
          <w:p w14:paraId="7439DAAA">
            <w:pPr>
              <w:keepNext w:val="0"/>
              <w:keepLines w:val="0"/>
              <w:pageBreakBefore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b w:val="0"/>
                <w:bCs w:val="0"/>
                <w:sz w:val="21"/>
                <w:szCs w:val="21"/>
                <w:lang w:val="en-US" w:eastAsia="zh-CN"/>
              </w:rPr>
            </w:pPr>
            <w:r>
              <w:rPr>
                <w:rFonts w:hint="eastAsia" w:ascii="宋体" w:hAnsi="宋体" w:eastAsia="宋体" w:cs="宋体"/>
                <w:b w:val="0"/>
                <w:bCs w:val="0"/>
                <w:sz w:val="21"/>
                <w:szCs w:val="21"/>
                <w:lang w:val="en-US" w:eastAsia="zh-CN"/>
              </w:rPr>
              <w:t>（1）复核加计正确，并与总账数和明细账合计数核对相符</w:t>
            </w:r>
            <w:r>
              <w:rPr>
                <w:rFonts w:hint="eastAsia" w:ascii="宋体" w:hAnsi="宋体" w:cs="宋体"/>
                <w:b w:val="0"/>
                <w:bCs w:val="0"/>
                <w:sz w:val="21"/>
                <w:szCs w:val="21"/>
                <w:lang w:val="en-US" w:eastAsia="zh-CN"/>
              </w:rPr>
              <w:t>。</w:t>
            </w:r>
          </w:p>
          <w:p w14:paraId="541FF3FA">
            <w:pPr>
              <w:keepNext w:val="0"/>
              <w:keepLines w:val="0"/>
              <w:pageBreakBefore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（2）检查非记账本位币应收账款的折算汇率及折算是否正确。</w:t>
            </w:r>
          </w:p>
          <w:p w14:paraId="130C6347">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（3）分析有贷方余额的项目，查明原因，必要时，建议做重分类调整。 </w:t>
            </w:r>
          </w:p>
          <w:p w14:paraId="54D77DF0">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（4）结合其他应收账款、预收款项等往来项目的明细余额，调查有无同一客户多处挂账、异常余额或与销售无关的其他款项。必要时提出调整建议。</w:t>
            </w:r>
          </w:p>
          <w:p w14:paraId="49456A27">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2.实施实质性分析程序，检查涉及应收账款的相关财务指标</w:t>
            </w:r>
          </w:p>
          <w:p w14:paraId="3EDD20F2">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3.对应收账款实施函证程序</w:t>
            </w:r>
          </w:p>
          <w:p w14:paraId="74E0F6F1">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（1）函证决策</w:t>
            </w:r>
          </w:p>
          <w:p w14:paraId="3A92496B">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（2）函证的范围和对象 </w:t>
            </w:r>
          </w:p>
          <w:p w14:paraId="6FCD041B">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（3）函证的方式 </w:t>
            </w:r>
          </w:p>
          <w:p w14:paraId="294AE56D">
            <w:pPr>
              <w:keepNext w:val="0"/>
              <w:keepLines w:val="0"/>
              <w:pageBreakBefore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kern w:val="2"/>
                <w:sz w:val="21"/>
                <w:szCs w:val="21"/>
                <w:lang w:val="en-US" w:eastAsia="zh-CN" w:bidi="ar-SA"/>
              </w:rPr>
              <w:t>（4）</w:t>
            </w:r>
            <w:r>
              <w:rPr>
                <w:rFonts w:hint="eastAsia" w:ascii="宋体" w:hAnsi="宋体" w:eastAsia="宋体" w:cs="宋体"/>
                <w:b w:val="0"/>
                <w:bCs w:val="0"/>
                <w:sz w:val="21"/>
                <w:szCs w:val="21"/>
                <w:lang w:val="en-US" w:eastAsia="zh-CN"/>
              </w:rPr>
              <w:t xml:space="preserve">函证时间的选择 </w:t>
            </w:r>
          </w:p>
          <w:p w14:paraId="75E9BB97">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（5）函证的控制 </w:t>
            </w:r>
          </w:p>
          <w:p w14:paraId="7DC603F6">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（6）对不符事项的处理</w:t>
            </w:r>
          </w:p>
          <w:p w14:paraId="1D69B593">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（7）电子询证函平台</w:t>
            </w:r>
          </w:p>
          <w:p w14:paraId="7BF2D7F5">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kern w:val="2"/>
                <w:sz w:val="21"/>
                <w:szCs w:val="21"/>
                <w:lang w:val="en-US" w:eastAsia="zh-CN" w:bidi="ar-SA"/>
              </w:rPr>
              <w:t>4.</w:t>
            </w:r>
            <w:r>
              <w:rPr>
                <w:rFonts w:hint="eastAsia" w:ascii="宋体" w:hAnsi="宋体" w:eastAsia="宋体" w:cs="宋体"/>
                <w:b w:val="0"/>
                <w:bCs w:val="0"/>
                <w:sz w:val="21"/>
                <w:szCs w:val="21"/>
                <w:lang w:val="en-US" w:eastAsia="zh-CN"/>
              </w:rPr>
              <w:t>对应收账款余额实施函证以外的细节测试</w:t>
            </w:r>
          </w:p>
          <w:p w14:paraId="228F9765">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如果审计人员根据职业判断认为实施函证不可行而未对应收账款实施函证，则需要实施替代程序来获取可靠的审计证据。例如，在考虑实施收入截止测试等审计程序所获取审计证据的基础上，可以检查资产负债表日后收回的货款，也可以检查相关的销售合同、销售单、出库单等文件，还可以检查被审计单位与客户之间的往来邮件等。</w:t>
            </w:r>
          </w:p>
          <w:p w14:paraId="5C953877">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5.检查坏账的冲销和转回</w:t>
            </w:r>
          </w:p>
          <w:p w14:paraId="534591B5">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首先，审计人员应检查有无债务人破产或者死亡的，以及破产或以遗产清偿后人无法收 回的，或者债务人长期未履行清偿义务的应收账款；其次，应检查被审计单位坏账的处理是 否经授权批准，有关会计处理是否正确。</w:t>
            </w:r>
          </w:p>
          <w:p w14:paraId="03020D88">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kern w:val="2"/>
                <w:sz w:val="21"/>
                <w:szCs w:val="21"/>
                <w:lang w:val="en-US" w:eastAsia="zh-CN" w:bidi="ar-SA"/>
              </w:rPr>
              <w:t>6.</w:t>
            </w:r>
            <w:r>
              <w:rPr>
                <w:rFonts w:hint="eastAsia" w:ascii="宋体" w:hAnsi="宋体" w:eastAsia="宋体" w:cs="宋体"/>
                <w:b w:val="0"/>
                <w:bCs w:val="0"/>
                <w:sz w:val="21"/>
                <w:szCs w:val="21"/>
                <w:lang w:val="en-US" w:eastAsia="zh-CN"/>
              </w:rPr>
              <w:t>确定应收账款的列报是否恰当</w:t>
            </w:r>
          </w:p>
          <w:p w14:paraId="20A60BA5">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除了企业会计准则要求的披露之外，如果被审计单位为上市公司，审计人员还要评价其披露是否符合监管部门的特别规定。</w:t>
            </w:r>
          </w:p>
          <w:p w14:paraId="7CE15F11">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eastAsia" w:ascii="黑体" w:hAnsi="黑体" w:eastAsia="黑体"/>
                <w:sz w:val="24"/>
                <w:szCs w:val="24"/>
                <w:lang w:val="en-US" w:eastAsia="zh-CN"/>
              </w:rPr>
            </w:pPr>
            <w:r>
              <w:rPr>
                <w:rFonts w:hint="eastAsia" w:ascii="黑体" w:hAnsi="黑体" w:eastAsia="黑体"/>
                <w:sz w:val="24"/>
                <w:szCs w:val="24"/>
                <w:lang w:val="en-US" w:eastAsia="zh-CN"/>
              </w:rPr>
              <w:t>任务二 技术实现</w:t>
            </w:r>
          </w:p>
          <w:p w14:paraId="5465E9F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w:t>
            </w:r>
            <w:r>
              <w:rPr>
                <w:rFonts w:hint="eastAsia" w:ascii="宋体" w:hAnsi="宋体" w:eastAsia="宋体" w:cs="宋体"/>
                <w:b/>
                <w:bCs/>
                <w:sz w:val="21"/>
                <w:szCs w:val="21"/>
                <w:lang w:val="en-US" w:eastAsia="zh-CN"/>
              </w:rPr>
              <w:t>业务实例</w:t>
            </w:r>
            <w:r>
              <w:rPr>
                <w:rFonts w:hint="eastAsia" w:ascii="宋体" w:hAnsi="宋体" w:eastAsia="宋体" w:cs="宋体"/>
                <w:b w:val="0"/>
                <w:bCs w:val="0"/>
                <w:sz w:val="21"/>
                <w:szCs w:val="21"/>
                <w:lang w:val="en-US" w:eastAsia="zh-CN"/>
              </w:rPr>
              <w:t>】</w:t>
            </w:r>
          </w:p>
          <w:p w14:paraId="309ADA1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×××会计师事务所在对明康生物股份有限公司2021年的财务报表进行审计，你是该项目的审计员，需要对应收账款科目实施进一步审计程序，具体工作内容包括：</w:t>
            </w:r>
          </w:p>
          <w:p w14:paraId="0293512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1.填制应收账款的往来询证函；</w:t>
            </w:r>
          </w:p>
          <w:p w14:paraId="28AC073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2.核对发函地址与企业实际地址是否一致；</w:t>
            </w:r>
          </w:p>
          <w:p w14:paraId="46FC736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3.获取客商的信用相关信息，判断客商是否存在信用风险，影响支付能力。</w:t>
            </w:r>
          </w:p>
          <w:p w14:paraId="668A479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一、</w:t>
            </w:r>
            <w:r>
              <w:rPr>
                <w:rFonts w:hint="eastAsia" w:ascii="宋体" w:hAnsi="宋体" w:eastAsia="宋体" w:cs="宋体"/>
                <w:b/>
                <w:bCs/>
                <w:sz w:val="21"/>
                <w:szCs w:val="21"/>
                <w:lang w:val="en-US" w:eastAsia="zh-CN"/>
              </w:rPr>
              <w:t>询证函自动生成</w:t>
            </w:r>
          </w:p>
          <w:p w14:paraId="0636E17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（一）设计自动分析数据脚本</w:t>
            </w:r>
          </w:p>
          <w:p w14:paraId="64519BE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14B9985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点击【开始任务】-【新建脚本】。</w:t>
            </w:r>
          </w:p>
          <w:p w14:paraId="43528DB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bidi="ar-SA"/>
              </w:rPr>
              <w:t>1.</w:t>
            </w:r>
            <w:r>
              <w:rPr>
                <w:rFonts w:hint="eastAsia" w:ascii="宋体" w:hAnsi="宋体" w:eastAsia="宋体" w:cs="宋体"/>
                <w:b w:val="0"/>
                <w:bCs w:val="0"/>
                <w:sz w:val="21"/>
                <w:szCs w:val="21"/>
                <w:lang w:val="en-US" w:eastAsia="zh-CN"/>
              </w:rPr>
              <w:t>导入所需库和数据</w:t>
            </w:r>
          </w:p>
          <w:p w14:paraId="22557F5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2.将“往来科目”分类为“贵公司欠”和“欠贵公司”。</w:t>
            </w:r>
          </w:p>
          <w:p w14:paraId="48F25D6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3.保存并查看结果</w:t>
            </w:r>
          </w:p>
          <w:p w14:paraId="7FB1FBF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（二）设计自动复核数据脚本</w:t>
            </w:r>
          </w:p>
          <w:p w14:paraId="0D3F624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23D741B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点击【开始任务】，在上一任务脚本中继续编写。</w:t>
            </w:r>
          </w:p>
          <w:p w14:paraId="7B1C3B4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zh-CN"/>
              </w:rPr>
              <w:t>计算“贵公司欠”和“欠贵公司”两列的合计数，并分别填入两列第一行</w:t>
            </w:r>
          </w:p>
          <w:p w14:paraId="2631DDB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2.判断金额是否一致</w:t>
            </w:r>
          </w:p>
          <w:p w14:paraId="1AD0604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3.用“-”填列空值</w:t>
            </w:r>
          </w:p>
          <w:p w14:paraId="5C7E14F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4.保存并查看结果</w:t>
            </w:r>
          </w:p>
          <w:p w14:paraId="6583734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（三）设计自动生成函证序号脚本</w:t>
            </w:r>
          </w:p>
          <w:p w14:paraId="4CA63EC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2DF7315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点击【开始任务】，在上一任务脚本中继续编写。</w:t>
            </w:r>
          </w:p>
          <w:p w14:paraId="78B2A28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1.对公司名称去重</w:t>
            </w:r>
          </w:p>
          <w:p w14:paraId="4B54CD4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2.获取公司个数，并生成序号列表</w:t>
            </w:r>
          </w:p>
          <w:p w14:paraId="007EA77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val="0"/>
                <w:bCs w:val="0"/>
                <w:sz w:val="21"/>
                <w:szCs w:val="21"/>
                <w:lang w:val="en-US" w:eastAsia="zh-CN"/>
              </w:rPr>
              <w:t>3.将“单位名称”与</w:t>
            </w:r>
            <w:r>
              <w:rPr>
                <w:rFonts w:hint="eastAsia" w:ascii="宋体" w:hAnsi="宋体" w:eastAsia="宋体" w:cs="宋体"/>
                <w:sz w:val="21"/>
                <w:szCs w:val="21"/>
                <w:lang w:val="en-US" w:eastAsia="zh-CN"/>
              </w:rPr>
              <w:t>“序列”合并</w:t>
            </w:r>
          </w:p>
          <w:p w14:paraId="358C72B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4.填充“函证序号”列</w:t>
            </w:r>
          </w:p>
          <w:p w14:paraId="1EB2E88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5.保存并查看结果</w:t>
            </w:r>
          </w:p>
          <w:p w14:paraId="64432AC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（四）设计自动生成函证脚本</w:t>
            </w:r>
          </w:p>
          <w:p w14:paraId="305216A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6AA1B60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点击【开始任务】-【新建脚本】</w:t>
            </w:r>
          </w:p>
          <w:p w14:paraId="39CEDFD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1.导入库</w:t>
            </w:r>
          </w:p>
          <w:p w14:paraId="2DD6D84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2.设置居中快捷录入</w:t>
            </w:r>
          </w:p>
          <w:p w14:paraId="3492918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3.读取数据</w:t>
            </w:r>
          </w:p>
          <w:p w14:paraId="02933F1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4.根据单位名称进行数据合并</w:t>
            </w:r>
          </w:p>
          <w:p w14:paraId="066B053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5.复制模版，生成新表</w:t>
            </w:r>
          </w:p>
          <w:p w14:paraId="6194220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6.填入“截止日期”、“贵公司欠”、“欠贵公司”、“会计科目”</w:t>
            </w:r>
          </w:p>
          <w:p w14:paraId="59F7DC3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7.设置表格打印区域、页签颜色</w:t>
            </w:r>
          </w:p>
          <w:p w14:paraId="2F07B19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8.生成函证文件</w:t>
            </w:r>
          </w:p>
          <w:p w14:paraId="2E90214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二、</w:t>
            </w:r>
            <w:r>
              <w:rPr>
                <w:rFonts w:hint="eastAsia" w:ascii="宋体" w:hAnsi="宋体" w:eastAsia="宋体" w:cs="宋体"/>
                <w:b/>
                <w:bCs/>
                <w:sz w:val="21"/>
                <w:szCs w:val="21"/>
                <w:lang w:val="en-US" w:eastAsia="zh-CN"/>
              </w:rPr>
              <w:t>函证地址自动比对</w:t>
            </w:r>
          </w:p>
          <w:p w14:paraId="703D996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（一）测试工商系统API接口</w:t>
            </w:r>
          </w:p>
          <w:p w14:paraId="7B05640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5DC19C8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点击【开始任务】-【新建脚本】。</w:t>
            </w:r>
          </w:p>
          <w:p w14:paraId="36F3D63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1.登录API商城，获取接口地址</w:t>
            </w:r>
          </w:p>
          <w:p w14:paraId="35A893E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2.测试接口</w:t>
            </w:r>
          </w:p>
          <w:p w14:paraId="3E5AAF2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二</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设计自动比对地址脚本</w:t>
            </w:r>
          </w:p>
          <w:p w14:paraId="6C16C96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77CBECE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w:t>
            </w:r>
          </w:p>
          <w:p w14:paraId="671243B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1.导入</w:t>
            </w:r>
            <w:r>
              <w:rPr>
                <w:rFonts w:hint="eastAsia" w:ascii="宋体" w:hAnsi="宋体" w:eastAsia="宋体" w:cs="宋体"/>
                <w:sz w:val="21"/>
                <w:szCs w:val="21"/>
                <w:lang w:val="en-US" w:eastAsia="zh-CN"/>
              </w:rPr>
              <w:t>所需</w:t>
            </w:r>
            <w:r>
              <w:rPr>
                <w:rFonts w:hint="eastAsia" w:ascii="宋体" w:hAnsi="宋体" w:eastAsia="宋体" w:cs="宋体"/>
                <w:sz w:val="21"/>
                <w:szCs w:val="21"/>
              </w:rPr>
              <w:t>库</w:t>
            </w:r>
          </w:p>
          <w:p w14:paraId="52F37D2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2.读取数据表</w:t>
            </w:r>
          </w:p>
          <w:p w14:paraId="72D3D85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3.从API输出结果中选择所需信息，保存至“函证清单”页对应单元格内</w:t>
            </w:r>
          </w:p>
          <w:p w14:paraId="408DB56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4.将获取地址信息与企业提供信息进行对比</w:t>
            </w:r>
          </w:p>
          <w:p w14:paraId="3E64FDA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5.保存结果</w:t>
            </w:r>
          </w:p>
          <w:p w14:paraId="174F65B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1" w:firstLineChars="100"/>
              <w:jc w:val="both"/>
              <w:textAlignment w:val="auto"/>
              <w:rPr>
                <w:rFonts w:hint="eastAsia" w:ascii="宋体" w:hAnsi="宋体" w:eastAsia="宋体" w:cs="宋体"/>
                <w:lang w:val="en-US" w:eastAsia="zh-CN"/>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三</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设计多地址自动比对脚本</w:t>
            </w:r>
          </w:p>
          <w:p w14:paraId="1BA3082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4FB0FCD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点击【开始任务】-【新建脚本】。</w:t>
            </w:r>
          </w:p>
          <w:p w14:paraId="5E28C1E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1.导入所需数据库</w:t>
            </w:r>
          </w:p>
          <w:p w14:paraId="65B0E1D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2.读取需核对企业清单</w:t>
            </w:r>
          </w:p>
          <w:p w14:paraId="289F96D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3.使用for...in..:依次对名单中的公司进行地址查询</w:t>
            </w:r>
          </w:p>
          <w:p w14:paraId="18D9C85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kern w:val="2"/>
                <w:sz w:val="21"/>
                <w:szCs w:val="21"/>
                <w:lang w:val="en-US" w:eastAsia="zh-CN" w:bidi="ar-SA"/>
              </w:rPr>
              <w:t>4.</w:t>
            </w:r>
            <w:r>
              <w:rPr>
                <w:rFonts w:hint="eastAsia" w:ascii="宋体" w:hAnsi="宋体" w:eastAsia="宋体" w:cs="宋体"/>
                <w:b w:val="0"/>
                <w:bCs w:val="0"/>
                <w:sz w:val="21"/>
                <w:szCs w:val="21"/>
                <w:lang w:val="en-US" w:eastAsia="zh-CN"/>
              </w:rPr>
              <w:t>获取信息、比对信息、保存结果</w:t>
            </w:r>
          </w:p>
          <w:p w14:paraId="1486DD6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三、客商信用风险自动检查</w:t>
            </w:r>
          </w:p>
          <w:p w14:paraId="78C6FF5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一</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设计查询企业经营状态脚本</w:t>
            </w:r>
          </w:p>
          <w:p w14:paraId="6B94EBC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06BB5A5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点击【开始任务】-【新建脚本】，打开API商城中企业工商综合信息查询界面。</w:t>
            </w:r>
          </w:p>
          <w:p w14:paraId="38EE01D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1.导入库、复制粘贴API示例代码</w:t>
            </w:r>
          </w:p>
          <w:p w14:paraId="6A8F79A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2.获取数据</w:t>
            </w:r>
          </w:p>
          <w:p w14:paraId="37FD4EF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3.提取“华钠药业有限公司”的“账面期末数”</w:t>
            </w:r>
          </w:p>
          <w:p w14:paraId="1E8CF59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4.从API输出结果中选择所需信息，打印查看信息</w:t>
            </w:r>
          </w:p>
          <w:p w14:paraId="091D60F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5.进行状态、金额的判断</w:t>
            </w:r>
          </w:p>
          <w:p w14:paraId="48A5436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6.保存结果</w:t>
            </w:r>
          </w:p>
          <w:p w14:paraId="4F6ABCD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（二）设计批量查询企业经营状态脚本</w:t>
            </w:r>
          </w:p>
          <w:p w14:paraId="4641662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3596105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点击【开始任务】-【新建脚本】，打开API商城中企业工商综合信息查询界面。</w:t>
            </w:r>
          </w:p>
          <w:p w14:paraId="5DF1EB8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lang w:val="en-US" w:eastAsia="zh-CN"/>
              </w:rPr>
              <w:t>导入库</w:t>
            </w:r>
          </w:p>
          <w:p w14:paraId="5B34796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2.读取和准备需查询企业名称列表、金额列表</w:t>
            </w:r>
          </w:p>
          <w:p w14:paraId="04CB406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3.使用for...in...依次对名单中的公司进行信用查询</w:t>
            </w:r>
          </w:p>
          <w:p w14:paraId="5509177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4.查询公司信息、判断金额、保存结果</w:t>
            </w:r>
          </w:p>
          <w:p w14:paraId="17D4B34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color w:val="000000"/>
                <w:sz w:val="21"/>
                <w:szCs w:val="21"/>
                <w:lang w:val="en-US" w:eastAsia="zh-CN"/>
              </w:rPr>
            </w:pPr>
            <w:r>
              <w:rPr>
                <w:rFonts w:hint="eastAsia" w:ascii="宋体" w:hAnsi="宋体" w:eastAsia="宋体" w:cs="宋体"/>
                <w:b/>
                <w:bCs/>
                <w:color w:val="auto"/>
                <w:sz w:val="21"/>
                <w:szCs w:val="21"/>
                <w:lang w:val="en-US" w:eastAsia="zh-CN"/>
              </w:rPr>
              <w:t>【课岗融通】</w:t>
            </w:r>
          </w:p>
          <w:p w14:paraId="71DD4D5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业务风险管理专员</w:t>
            </w:r>
          </w:p>
          <w:p w14:paraId="53CEB83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color w:val="000000"/>
                <w:sz w:val="21"/>
                <w:szCs w:val="21"/>
                <w:lang w:val="en-US" w:eastAsia="zh-CN"/>
              </w:rPr>
            </w:pPr>
            <w:r>
              <w:rPr>
                <w:rFonts w:hint="eastAsia" w:ascii="宋体" w:hAnsi="宋体" w:cs="宋体"/>
                <w:b w:val="0"/>
                <w:bCs w:val="0"/>
                <w:color w:val="000000"/>
                <w:sz w:val="21"/>
                <w:szCs w:val="21"/>
                <w:lang w:val="en-US" w:eastAsia="zh-CN"/>
              </w:rPr>
              <w:t>1.</w:t>
            </w:r>
            <w:r>
              <w:rPr>
                <w:rFonts w:hint="eastAsia" w:ascii="宋体" w:hAnsi="宋体" w:eastAsia="宋体" w:cs="宋体"/>
                <w:b w:val="0"/>
                <w:bCs w:val="0"/>
                <w:color w:val="000000"/>
                <w:sz w:val="21"/>
                <w:szCs w:val="21"/>
                <w:lang w:val="en-US" w:eastAsia="zh-CN"/>
              </w:rPr>
              <w:t>识别业务风险：业务风险管理专员负责识别与业务相关的风险，并进行分类和评估；</w:t>
            </w:r>
          </w:p>
          <w:p w14:paraId="44BECCA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color w:val="000000"/>
                <w:sz w:val="21"/>
                <w:szCs w:val="21"/>
                <w:lang w:val="en-US" w:eastAsia="zh-CN"/>
              </w:rPr>
            </w:pPr>
            <w:r>
              <w:rPr>
                <w:rFonts w:hint="eastAsia" w:ascii="宋体" w:hAnsi="宋体" w:cs="宋体"/>
                <w:b w:val="0"/>
                <w:bCs w:val="0"/>
                <w:color w:val="000000"/>
                <w:sz w:val="21"/>
                <w:szCs w:val="21"/>
                <w:lang w:val="en-US" w:eastAsia="zh-CN"/>
              </w:rPr>
              <w:t>2.</w:t>
            </w:r>
            <w:r>
              <w:rPr>
                <w:rFonts w:hint="eastAsia" w:ascii="宋体" w:hAnsi="宋体" w:eastAsia="宋体" w:cs="宋体"/>
                <w:b w:val="0"/>
                <w:bCs w:val="0"/>
                <w:color w:val="000000"/>
                <w:sz w:val="21"/>
                <w:szCs w:val="21"/>
                <w:lang w:val="en-US" w:eastAsia="zh-CN"/>
              </w:rPr>
              <w:t>制定业务风险管理计划：专员需要制定相应的业务风险管理计划，并与业务部门合作实施；</w:t>
            </w:r>
          </w:p>
          <w:p w14:paraId="7B17EF1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color w:val="000000"/>
                <w:sz w:val="21"/>
                <w:szCs w:val="21"/>
                <w:lang w:val="en-US" w:eastAsia="zh-CN"/>
              </w:rPr>
            </w:pPr>
            <w:r>
              <w:rPr>
                <w:rFonts w:hint="eastAsia" w:ascii="宋体" w:hAnsi="宋体" w:cs="宋体"/>
                <w:b w:val="0"/>
                <w:bCs w:val="0"/>
                <w:color w:val="000000"/>
                <w:sz w:val="21"/>
                <w:szCs w:val="21"/>
                <w:lang w:val="en-US" w:eastAsia="zh-CN"/>
              </w:rPr>
              <w:t>3.</w:t>
            </w:r>
            <w:r>
              <w:rPr>
                <w:rFonts w:hint="eastAsia" w:ascii="宋体" w:hAnsi="宋体" w:eastAsia="宋体" w:cs="宋体"/>
                <w:b w:val="0"/>
                <w:bCs w:val="0"/>
                <w:color w:val="000000"/>
                <w:sz w:val="21"/>
                <w:szCs w:val="21"/>
                <w:lang w:val="en-US" w:eastAsia="zh-CN"/>
              </w:rPr>
              <w:t>监控业务风险：专员负责监控业务风险的变化和趋势，并及时向管理层汇报，以帮助企业制定相应的业务决策。</w:t>
            </w:r>
          </w:p>
          <w:p w14:paraId="0F88B27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合规风险管理专员</w:t>
            </w:r>
          </w:p>
          <w:p w14:paraId="235BBE1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color w:val="000000"/>
                <w:sz w:val="21"/>
                <w:szCs w:val="21"/>
                <w:lang w:val="en-US" w:eastAsia="zh-CN"/>
              </w:rPr>
            </w:pPr>
            <w:r>
              <w:rPr>
                <w:rFonts w:hint="eastAsia" w:ascii="宋体" w:hAnsi="宋体" w:cs="宋体"/>
                <w:b w:val="0"/>
                <w:bCs w:val="0"/>
                <w:color w:val="000000"/>
                <w:sz w:val="21"/>
                <w:szCs w:val="21"/>
                <w:lang w:val="en-US" w:eastAsia="zh-CN"/>
              </w:rPr>
              <w:t>1.</w:t>
            </w:r>
            <w:r>
              <w:rPr>
                <w:rFonts w:hint="eastAsia" w:ascii="宋体" w:hAnsi="宋体" w:eastAsia="宋体" w:cs="宋体"/>
                <w:b w:val="0"/>
                <w:bCs w:val="0"/>
                <w:color w:val="000000"/>
                <w:sz w:val="21"/>
                <w:szCs w:val="21"/>
                <w:lang w:val="en-US" w:eastAsia="zh-CN"/>
              </w:rPr>
              <w:t>研究合规法规：合规风险管理专员需要研究并了解与企业相关的合规法规，并确保企业的经营活动符合相关法规要求；</w:t>
            </w:r>
          </w:p>
          <w:p w14:paraId="74F430C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color w:val="000000"/>
                <w:sz w:val="21"/>
                <w:szCs w:val="21"/>
                <w:lang w:val="en-US" w:eastAsia="zh-CN"/>
              </w:rPr>
            </w:pPr>
            <w:r>
              <w:rPr>
                <w:rFonts w:hint="eastAsia" w:ascii="宋体" w:hAnsi="宋体" w:cs="宋体"/>
                <w:b w:val="0"/>
                <w:bCs w:val="0"/>
                <w:color w:val="000000"/>
                <w:sz w:val="21"/>
                <w:szCs w:val="21"/>
                <w:lang w:val="en-US" w:eastAsia="zh-CN"/>
              </w:rPr>
              <w:t>2.</w:t>
            </w:r>
            <w:r>
              <w:rPr>
                <w:rFonts w:hint="eastAsia" w:ascii="宋体" w:hAnsi="宋体" w:eastAsia="宋体" w:cs="宋体"/>
                <w:b w:val="0"/>
                <w:bCs w:val="0"/>
                <w:color w:val="000000"/>
                <w:sz w:val="21"/>
                <w:szCs w:val="21"/>
                <w:lang w:val="en-US" w:eastAsia="zh-CN"/>
              </w:rPr>
              <w:t>制定合规风险管理策略：专员需要制定相应的合规风险管理策略，并与内部各部门合作，确保其有效实施；</w:t>
            </w:r>
          </w:p>
          <w:p w14:paraId="6F940E9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cs="宋体"/>
                <w:b w:val="0"/>
                <w:bCs w:val="0"/>
                <w:color w:val="000000"/>
                <w:sz w:val="21"/>
                <w:szCs w:val="21"/>
                <w:lang w:val="en-US" w:eastAsia="zh-CN"/>
              </w:rPr>
              <w:t>3.</w:t>
            </w:r>
            <w:r>
              <w:rPr>
                <w:rFonts w:hint="eastAsia" w:ascii="宋体" w:hAnsi="宋体" w:eastAsia="宋体" w:cs="宋体"/>
                <w:b w:val="0"/>
                <w:bCs w:val="0"/>
                <w:color w:val="000000"/>
                <w:sz w:val="21"/>
                <w:szCs w:val="21"/>
                <w:lang w:val="en-US" w:eastAsia="zh-CN"/>
              </w:rPr>
              <w:t>监控合规风险：专员负责监控合规风险的变化和趋势，并向高层管理者提供相关报告和建议，以帮助企业遵守法规要求。</w:t>
            </w:r>
          </w:p>
          <w:p w14:paraId="53CD877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w:t>
            </w:r>
            <w:r>
              <w:rPr>
                <w:rFonts w:hint="eastAsia" w:ascii="宋体" w:hAnsi="宋体" w:eastAsia="宋体" w:cs="宋体"/>
                <w:b/>
                <w:bCs/>
                <w:color w:val="auto"/>
                <w:sz w:val="21"/>
                <w:szCs w:val="21"/>
                <w:lang w:val="en-US" w:eastAsia="zh-CN"/>
              </w:rPr>
              <w:t>思政融入</w:t>
            </w:r>
            <w:r>
              <w:rPr>
                <w:rFonts w:hint="eastAsia" w:ascii="宋体" w:hAnsi="宋体" w:cs="宋体"/>
                <w:sz w:val="21"/>
                <w:szCs w:val="21"/>
                <w:lang w:val="en-US" w:eastAsia="zh-CN"/>
              </w:rPr>
              <w:t>】</w:t>
            </w:r>
          </w:p>
          <w:p w14:paraId="6F2BBC9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 增强忧患意识 防范经济风险</w:t>
            </w:r>
          </w:p>
        </w:tc>
      </w:tr>
    </w:tbl>
    <w:p w14:paraId="636A5786">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四、课程小结</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A66F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690F5E9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lang w:val="en-US" w:eastAsia="zh-CN"/>
              </w:rPr>
              <w:t>本项目重在介绍利用大数据审计平台完成在审计实施阶段如何进行应收账款实质性程序进行风险应对。重点介绍了应收账款审计目标和审计程序：如何实施应收账款函证程序；电子询证函平台的使用要求以及区块链技术在电子询证函平台中的应用。介绍了利用Python技术进行应收账款风险应对的措施：询证函自动生成——设计自动分析数据脚本、设计自动复核数据脚本、设计自动生成函证序号脚本、设计自动生成函证脚本；函证地址自动比对——测试工商系统API接口、设计自动比对地址脚本、设计多地址自动比对脚本；客商信用风险自动检查——设计查询企业经营状态脚本、设计批量查询企业经营状态脚本。</w:t>
            </w:r>
          </w:p>
        </w:tc>
      </w:tr>
    </w:tbl>
    <w:p w14:paraId="192F06DD">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五、课后拓展</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07F0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A176AD9">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任务布置</w:t>
            </w:r>
          </w:p>
          <w:p w14:paraId="6A71B0B4">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在</w:t>
            </w:r>
            <w:r>
              <w:rPr>
                <w:rFonts w:hint="eastAsia" w:ascii="宋体" w:hAnsi="宋体" w:cs="宋体"/>
                <w:b w:val="0"/>
                <w:bCs w:val="0"/>
                <w:sz w:val="21"/>
                <w:szCs w:val="21"/>
                <w:lang w:val="en-US" w:eastAsia="zh-CN"/>
              </w:rPr>
              <w:t>学习通</w:t>
            </w:r>
            <w:r>
              <w:rPr>
                <w:rFonts w:hint="eastAsia" w:ascii="宋体" w:hAnsi="宋体" w:eastAsia="宋体" w:cs="宋体"/>
                <w:b w:val="0"/>
                <w:bCs w:val="0"/>
                <w:sz w:val="21"/>
                <w:szCs w:val="21"/>
                <w:lang w:val="en-US" w:eastAsia="zh-CN"/>
              </w:rPr>
              <w:t>发布课后作业：使用大数据审计平台自有的智多星RPA设计器自动生成询证函、进行函证地址自动比对和客商信用风险自动检查，要求：</w:t>
            </w:r>
          </w:p>
          <w:p w14:paraId="709D614A">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通过RPA制作函证：设计自动分析数据机器人；设计自动复核数据机器人；设计自动生成函证序号机器人；设计自动生成函证机器人。</w:t>
            </w:r>
          </w:p>
          <w:p w14:paraId="4B289E4C">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通过RPA进行函证地址比对：设计自动比对函证地址机器人。</w:t>
            </w:r>
          </w:p>
          <w:p w14:paraId="6F31A79D">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通过RPA进行企业信用查询：设计自动查询企业经营状态机器人。</w:t>
            </w:r>
          </w:p>
          <w:p w14:paraId="4F65B82F">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仿宋" w:hAnsi="仿宋" w:eastAsia="仿宋" w:cs="仿宋"/>
                <w:spacing w:val="-14"/>
                <w:sz w:val="24"/>
                <w:szCs w:val="24"/>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MOOC平台资源学习</w:t>
            </w:r>
          </w:p>
        </w:tc>
      </w:tr>
    </w:tbl>
    <w:p w14:paraId="2BC17E67">
      <w:pPr>
        <w:keepNext w:val="0"/>
        <w:keepLines w:val="0"/>
        <w:pageBreakBefore w:val="0"/>
        <w:widowControl w:val="0"/>
        <w:kinsoku/>
        <w:wordWrap/>
        <w:overflowPunct/>
        <w:topLinePunct w:val="0"/>
        <w:autoSpaceDE/>
        <w:autoSpaceDN/>
        <w:bidi w:val="0"/>
        <w:adjustRightInd/>
        <w:snapToGrid w:val="0"/>
        <w:spacing w:line="460" w:lineRule="exact"/>
        <w:jc w:val="both"/>
        <w:textAlignment w:val="auto"/>
        <w:rPr>
          <w:rFonts w:hint="eastAsia" w:ascii="黑体" w:hAnsi="黑体" w:eastAsia="黑体"/>
          <w:sz w:val="24"/>
          <w:szCs w:val="24"/>
        </w:rPr>
      </w:pPr>
      <w:r>
        <w:rPr>
          <w:rFonts w:hint="eastAsia" w:ascii="黑体" w:hAnsi="黑体" w:eastAsia="黑体"/>
          <w:sz w:val="24"/>
          <w:szCs w:val="24"/>
        </w:rPr>
        <w:t>【教学效果与反思】</w:t>
      </w:r>
    </w:p>
    <w:p w14:paraId="420B8694">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运用多种信息化手段与资源，随堂测试结果显示，学生已掌握</w:t>
      </w:r>
      <w:r>
        <w:rPr>
          <w:rFonts w:hint="eastAsia" w:ascii="宋体" w:hAnsi="宋体" w:eastAsia="宋体" w:cs="宋体"/>
          <w:i w:val="0"/>
          <w:iCs w:val="0"/>
          <w:caps w:val="0"/>
          <w:color w:val="auto"/>
          <w:spacing w:val="0"/>
          <w:sz w:val="24"/>
          <w:szCs w:val="24"/>
          <w:shd w:val="clear" w:color="auto" w:fill="FFFFFF"/>
        </w:rPr>
        <w:t>实施应收账款函证程序</w:t>
      </w:r>
      <w:r>
        <w:rPr>
          <w:rFonts w:hint="eastAsia" w:ascii="宋体" w:hAnsi="宋体" w:cs="宋体"/>
          <w:i w:val="0"/>
          <w:iCs w:val="0"/>
          <w:caps w:val="0"/>
          <w:color w:val="auto"/>
          <w:spacing w:val="0"/>
          <w:sz w:val="24"/>
          <w:szCs w:val="24"/>
          <w:shd w:val="clear" w:color="auto" w:fill="FFFFFF"/>
          <w:lang w:eastAsia="zh-CN"/>
        </w:rPr>
        <w:t>，</w:t>
      </w:r>
      <w:r>
        <w:rPr>
          <w:rFonts w:hint="eastAsia" w:ascii="宋体" w:hAnsi="宋体" w:cs="宋体"/>
          <w:i w:val="0"/>
          <w:iCs w:val="0"/>
          <w:caps w:val="0"/>
          <w:color w:val="auto"/>
          <w:spacing w:val="0"/>
          <w:sz w:val="24"/>
          <w:szCs w:val="24"/>
          <w:shd w:val="clear" w:color="auto" w:fill="FFFFFF"/>
          <w:lang w:val="en-US" w:eastAsia="zh-CN"/>
        </w:rPr>
        <w:t>了解</w:t>
      </w:r>
      <w:r>
        <w:rPr>
          <w:rFonts w:hint="eastAsia" w:ascii="宋体" w:hAnsi="宋体" w:eastAsia="宋体" w:cs="宋体"/>
          <w:i w:val="0"/>
          <w:iCs w:val="0"/>
          <w:caps w:val="0"/>
          <w:color w:val="auto"/>
          <w:spacing w:val="0"/>
          <w:sz w:val="24"/>
          <w:szCs w:val="24"/>
          <w:shd w:val="clear" w:color="auto" w:fill="FFFFFF"/>
        </w:rPr>
        <w:t>电子询证函平台的使用要求，以及区块链技术在电子询证函平台中的应用</w:t>
      </w:r>
      <w:r>
        <w:rPr>
          <w:rFonts w:hint="eastAsia" w:ascii="宋体" w:hAnsi="宋体" w:cs="宋体"/>
          <w:i w:val="0"/>
          <w:iCs w:val="0"/>
          <w:caps w:val="0"/>
          <w:color w:val="auto"/>
          <w:spacing w:val="0"/>
          <w:sz w:val="24"/>
          <w:szCs w:val="24"/>
          <w:shd w:val="clear" w:color="auto" w:fill="FFFFFF"/>
          <w:lang w:eastAsia="zh-CN"/>
        </w:rPr>
        <w:t>，</w:t>
      </w:r>
      <w:r>
        <w:rPr>
          <w:rFonts w:hint="eastAsia" w:ascii="宋体" w:hAnsi="宋体" w:eastAsia="宋体" w:cs="宋体"/>
          <w:b/>
          <w:bCs/>
          <w:sz w:val="24"/>
          <w:szCs w:val="24"/>
          <w:lang w:val="en-US" w:eastAsia="zh-CN"/>
        </w:rPr>
        <w:t>知识目标达成</w:t>
      </w:r>
      <w:r>
        <w:rPr>
          <w:rFonts w:hint="eastAsia" w:ascii="宋体" w:hAnsi="宋体" w:eastAsia="宋体" w:cs="宋体"/>
          <w:b w:val="0"/>
          <w:bCs w:val="0"/>
          <w:sz w:val="24"/>
          <w:szCs w:val="24"/>
          <w:lang w:val="en-US" w:eastAsia="zh-CN"/>
        </w:rPr>
        <w:t>；通过课堂练习任务及</w:t>
      </w:r>
      <w:r>
        <w:rPr>
          <w:rFonts w:hint="eastAsia" w:ascii="宋体" w:hAnsi="宋体" w:cs="宋体"/>
          <w:b w:val="0"/>
          <w:bCs w:val="0"/>
          <w:sz w:val="24"/>
          <w:szCs w:val="24"/>
          <w:lang w:val="en-US" w:eastAsia="zh-CN"/>
        </w:rPr>
        <w:t>学生实操结果</w:t>
      </w:r>
      <w:r>
        <w:rPr>
          <w:rFonts w:hint="eastAsia" w:ascii="宋体" w:hAnsi="宋体" w:eastAsia="宋体" w:cs="宋体"/>
          <w:b w:val="0"/>
          <w:bCs w:val="0"/>
          <w:sz w:val="24"/>
          <w:szCs w:val="24"/>
          <w:lang w:val="en-US" w:eastAsia="zh-CN"/>
        </w:rPr>
        <w:t>显示学生能够</w:t>
      </w:r>
      <w:r>
        <w:rPr>
          <w:rFonts w:hint="eastAsia" w:ascii="宋体" w:hAnsi="宋体" w:eastAsia="宋体" w:cs="宋体"/>
          <w:i w:val="0"/>
          <w:iCs w:val="0"/>
          <w:caps w:val="0"/>
          <w:color w:val="auto"/>
          <w:spacing w:val="0"/>
          <w:sz w:val="24"/>
          <w:szCs w:val="24"/>
          <w:shd w:val="clear" w:color="auto" w:fill="FFFFFF"/>
        </w:rPr>
        <w:t>应用python自动化技术自动生成询证函</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自动复核函证地址信息</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自动划分应收账款信用分类</w:t>
      </w:r>
      <w:r>
        <w:rPr>
          <w:rFonts w:hint="eastAsia" w:ascii="宋体" w:hAnsi="宋体" w:eastAsia="宋体" w:cs="宋体"/>
          <w:b w:val="0"/>
          <w:bCs w:val="0"/>
          <w:sz w:val="24"/>
          <w:szCs w:val="24"/>
          <w:lang w:val="en-US" w:eastAsia="zh-CN"/>
        </w:rPr>
        <w:t>，</w:t>
      </w:r>
      <w:r>
        <w:rPr>
          <w:rFonts w:hint="eastAsia" w:ascii="宋体" w:hAnsi="宋体" w:eastAsia="宋体" w:cs="宋体"/>
          <w:b/>
          <w:bCs/>
          <w:sz w:val="24"/>
          <w:szCs w:val="24"/>
          <w:lang w:val="en-US" w:eastAsia="zh-CN"/>
        </w:rPr>
        <w:t>能力目标达成</w:t>
      </w:r>
      <w:r>
        <w:rPr>
          <w:rFonts w:hint="eastAsia" w:ascii="宋体" w:hAnsi="宋体" w:eastAsia="宋体" w:cs="宋体"/>
          <w:b w:val="0"/>
          <w:bCs w:val="0"/>
          <w:sz w:val="24"/>
          <w:szCs w:val="24"/>
          <w:lang w:val="en-US" w:eastAsia="zh-CN"/>
        </w:rPr>
        <w:t>；培养学生</w:t>
      </w:r>
      <w:r>
        <w:rPr>
          <w:rFonts w:hint="eastAsia" w:ascii="宋体" w:hAnsi="宋体" w:eastAsia="宋体" w:cs="宋体"/>
          <w:b w:val="0"/>
          <w:bCs w:val="0"/>
          <w:color w:val="auto"/>
          <w:sz w:val="24"/>
          <w:szCs w:val="24"/>
          <w:lang w:val="en-US" w:eastAsia="zh-CN"/>
        </w:rPr>
        <w:t>遵纪守法，恪守职业道德</w:t>
      </w:r>
      <w:r>
        <w:rPr>
          <w:rFonts w:hint="eastAsia" w:ascii="宋体" w:hAnsi="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坚持马克思主义立场、观点和方法分析问题，明辨事理</w:t>
      </w:r>
      <w:r>
        <w:rPr>
          <w:rFonts w:hint="eastAsia" w:ascii="宋体" w:hAnsi="宋体" w:cs="宋体"/>
          <w:b w:val="0"/>
          <w:bCs w:val="0"/>
          <w:color w:val="auto"/>
          <w:sz w:val="24"/>
          <w:szCs w:val="24"/>
          <w:lang w:val="en-US" w:eastAsia="zh-CN"/>
        </w:rPr>
        <w:t>，</w:t>
      </w:r>
      <w:r>
        <w:rPr>
          <w:rFonts w:hint="eastAsia" w:ascii="宋体" w:hAnsi="宋体" w:eastAsia="宋体" w:cs="宋体"/>
          <w:b/>
          <w:bCs/>
          <w:sz w:val="24"/>
          <w:szCs w:val="24"/>
          <w:lang w:val="en-US" w:eastAsia="zh-CN"/>
        </w:rPr>
        <w:t>素质目标</w:t>
      </w:r>
      <w:bookmarkStart w:id="0" w:name="_GoBack"/>
      <w:bookmarkEnd w:id="0"/>
      <w:r>
        <w:rPr>
          <w:rFonts w:hint="eastAsia" w:ascii="宋体" w:hAnsi="宋体" w:eastAsia="宋体" w:cs="宋体"/>
          <w:b/>
          <w:bCs/>
          <w:sz w:val="24"/>
          <w:szCs w:val="24"/>
          <w:lang w:val="en-US" w:eastAsia="zh-CN"/>
        </w:rPr>
        <w:t>达成</w:t>
      </w:r>
      <w:r>
        <w:rPr>
          <w:rFonts w:hint="eastAsia" w:ascii="宋体" w:hAnsi="宋体" w:eastAsia="宋体" w:cs="宋体"/>
          <w:b w:val="0"/>
          <w:bCs w:val="0"/>
          <w:sz w:val="24"/>
          <w:szCs w:val="24"/>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mZDBhM2FhZmEzMjBmZWE2MTNkNDkzZTc3YTQwYzYifQ=="/>
  </w:docVars>
  <w:rsids>
    <w:rsidRoot w:val="00000000"/>
    <w:rsid w:val="06AF5B92"/>
    <w:rsid w:val="13222ACB"/>
    <w:rsid w:val="2C826BBB"/>
    <w:rsid w:val="45C166C6"/>
    <w:rsid w:val="538A7BE8"/>
    <w:rsid w:val="5B2D074B"/>
    <w:rsid w:val="5BD74B87"/>
    <w:rsid w:val="75287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keepLines/>
      <w:adjustRightInd/>
      <w:spacing w:before="340" w:after="330" w:line="576" w:lineRule="auto"/>
      <w:jc w:val="both"/>
      <w:textAlignment w:val="auto"/>
      <w:outlineLvl w:val="0"/>
    </w:pPr>
    <w:rPr>
      <w:b/>
      <w:kern w:val="44"/>
      <w:sz w:val="44"/>
      <w:szCs w:val="2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4208</Words>
  <Characters>4398</Characters>
  <Lines>0</Lines>
  <Paragraphs>0</Paragraphs>
  <TotalTime>13</TotalTime>
  <ScaleCrop>false</ScaleCrop>
  <LinksUpToDate>false</LinksUpToDate>
  <CharactersWithSpaces>4421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2024-09-23T03:27:00Z</dcterms:created>
  <dc:creator>yyz</dc:creator>
  <cp:lastModifiedBy>阳光普照</cp:lastModifiedBy>
  <dcterms:modified xsi:type="dcterms:W3CDTF">2024-09-24T14:01:38Z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D5AC3303BCBD4B1EA4B0934E3CDB6593_12</vt:lpwstr>
  </property>
</Properties>
</file>